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5B6DCB" w14:textId="77777777" w:rsidR="002F3EBC" w:rsidRPr="008C557F" w:rsidRDefault="002F3EBC" w:rsidP="008C557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jc w:val="both"/>
        <w:rPr>
          <w:rFonts w:ascii="Segoe UI" w:eastAsia="Calibri" w:hAnsi="Segoe UI" w:cs="Segoe UI"/>
          <w:b/>
          <w:bCs/>
        </w:rPr>
      </w:pPr>
    </w:p>
    <w:p w14:paraId="3E8FCB7B" w14:textId="77777777" w:rsidR="002F3EBC" w:rsidRPr="008C557F" w:rsidRDefault="00000000" w:rsidP="008C557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276" w:lineRule="auto"/>
        <w:jc w:val="center"/>
        <w:rPr>
          <w:rFonts w:ascii="Segoe UI" w:eastAsia="Calibri" w:hAnsi="Segoe UI" w:cs="Segoe UI"/>
          <w:sz w:val="24"/>
          <w:szCs w:val="24"/>
        </w:rPr>
      </w:pPr>
      <w:r w:rsidRPr="008C557F">
        <w:rPr>
          <w:rFonts w:ascii="Segoe UI" w:eastAsia="Calibri" w:hAnsi="Segoe UI" w:cs="Segoe UI"/>
          <w:b/>
          <w:bCs/>
          <w:sz w:val="24"/>
          <w:szCs w:val="24"/>
        </w:rPr>
        <w:t>Il Perù nel cuore di Papa Leone XIV: la storia dietro il pontificato</w:t>
      </w:r>
    </w:p>
    <w:p w14:paraId="2D7DF325" w14:textId="77777777" w:rsidR="002F3EBC" w:rsidRPr="008C557F" w:rsidRDefault="00000000" w:rsidP="008C557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276" w:lineRule="auto"/>
        <w:jc w:val="center"/>
        <w:rPr>
          <w:rFonts w:ascii="Segoe UI" w:eastAsia="Calibri" w:hAnsi="Segoe UI" w:cs="Segoe UI"/>
          <w:b/>
          <w:bCs/>
        </w:rPr>
      </w:pPr>
      <w:r w:rsidRPr="008C557F">
        <w:rPr>
          <w:rFonts w:ascii="Segoe UI" w:eastAsia="Calibri" w:hAnsi="Segoe UI" w:cs="Segoe UI"/>
          <w:b/>
          <w:bCs/>
        </w:rPr>
        <w:t>La Ruta de León è un itinerario culturale e spirituale che attraversa quattro regioni e collega 38 luoghi legati al percorso pastorale del Pontefice nel Paese sudamericano.</w:t>
      </w:r>
    </w:p>
    <w:p w14:paraId="53E59487" w14:textId="77777777" w:rsidR="002F3EBC" w:rsidRPr="008C557F" w:rsidRDefault="00000000" w:rsidP="008C557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276" w:lineRule="auto"/>
        <w:jc w:val="center"/>
        <w:rPr>
          <w:rFonts w:ascii="Segoe UI" w:eastAsia="Calibri" w:hAnsi="Segoe UI" w:cs="Segoe UI"/>
          <w:b/>
          <w:bCs/>
        </w:rPr>
      </w:pPr>
      <w:r w:rsidRPr="008C557F">
        <w:rPr>
          <w:rFonts w:ascii="Segoe UI" w:eastAsia="Calibri" w:hAnsi="Segoe UI" w:cs="Segoe UI"/>
          <w:b/>
          <w:bCs/>
          <w:noProof/>
        </w:rPr>
        <w:drawing>
          <wp:inline distT="114300" distB="114300" distL="114300" distR="114300" wp14:anchorId="192DD5B3" wp14:editId="0E6BFB4A">
            <wp:extent cx="5380673" cy="358434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380673" cy="3584343"/>
                    </a:xfrm>
                    <a:prstGeom prst="rect">
                      <a:avLst/>
                    </a:prstGeom>
                    <a:ln/>
                  </pic:spPr>
                </pic:pic>
              </a:graphicData>
            </a:graphic>
          </wp:inline>
        </w:drawing>
      </w:r>
    </w:p>
    <w:p w14:paraId="297FE0D3" w14:textId="77777777" w:rsidR="002F3EBC" w:rsidRPr="008C557F" w:rsidRDefault="00000000" w:rsidP="008C557F">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276" w:lineRule="auto"/>
        <w:jc w:val="center"/>
        <w:rPr>
          <w:rFonts w:ascii="Segoe UI" w:eastAsia="Calibri" w:hAnsi="Segoe UI" w:cs="Segoe UI"/>
          <w:b/>
          <w:bCs/>
        </w:rPr>
      </w:pPr>
      <w:r w:rsidRPr="008C557F">
        <w:rPr>
          <w:rFonts w:ascii="Segoe UI" w:eastAsia="Calibri" w:hAnsi="Segoe UI" w:cs="Segoe UI"/>
          <w:b/>
          <w:bCs/>
        </w:rPr>
        <w:t xml:space="preserve">Cattedrale di Chiclayo, </w:t>
      </w:r>
      <w:proofErr w:type="spellStart"/>
      <w:r w:rsidRPr="008C557F">
        <w:rPr>
          <w:rFonts w:ascii="Segoe UI" w:eastAsia="Calibri" w:hAnsi="Segoe UI" w:cs="Segoe UI"/>
          <w:b/>
          <w:bCs/>
        </w:rPr>
        <w:t>Lambayeque</w:t>
      </w:r>
      <w:proofErr w:type="spellEnd"/>
      <w:r w:rsidRPr="008C557F">
        <w:rPr>
          <w:rFonts w:ascii="Segoe UI" w:eastAsia="Calibri" w:hAnsi="Segoe UI" w:cs="Segoe UI"/>
          <w:b/>
          <w:bCs/>
        </w:rPr>
        <w:t xml:space="preserve"> © Karina Mendoza / PROMPERÚ</w:t>
      </w:r>
    </w:p>
    <w:p w14:paraId="29E0DA11" w14:textId="77777777" w:rsidR="002F3EBC" w:rsidRPr="008C557F" w:rsidRDefault="00000000" w:rsidP="008C557F">
      <w:pPr>
        <w:pBdr>
          <w:top w:val="nil"/>
          <w:left w:val="nil"/>
          <w:bottom w:val="nil"/>
          <w:right w:val="nil"/>
          <w:between w:val="nil"/>
        </w:pBdr>
        <w:spacing w:before="280" w:after="280" w:line="276" w:lineRule="auto"/>
        <w:jc w:val="both"/>
        <w:rPr>
          <w:rFonts w:ascii="Segoe UI" w:eastAsia="Calibri" w:hAnsi="Segoe UI" w:cs="Segoe UI"/>
        </w:rPr>
      </w:pPr>
      <w:r w:rsidRPr="008C557F">
        <w:rPr>
          <w:rFonts w:ascii="Segoe UI" w:eastAsia="Calibri" w:hAnsi="Segoe UI" w:cs="Segoe UI"/>
          <w:b/>
          <w:bCs/>
        </w:rPr>
        <w:t xml:space="preserve">Giugno </w:t>
      </w:r>
      <w:r w:rsidRPr="008C557F">
        <w:rPr>
          <w:rFonts w:ascii="Segoe UI" w:eastAsia="Calibri" w:hAnsi="Segoe UI" w:cs="Segoe UI"/>
          <w:b/>
          <w:bCs/>
          <w:color w:val="000000"/>
        </w:rPr>
        <w:t>202</w:t>
      </w:r>
      <w:r w:rsidRPr="008C557F">
        <w:rPr>
          <w:rFonts w:ascii="Segoe UI" w:eastAsia="Calibri" w:hAnsi="Segoe UI" w:cs="Segoe UI"/>
          <w:b/>
          <w:bCs/>
        </w:rPr>
        <w:t>6</w:t>
      </w:r>
      <w:r w:rsidRPr="008C557F">
        <w:rPr>
          <w:rFonts w:ascii="Segoe UI" w:eastAsia="Calibri" w:hAnsi="Segoe UI" w:cs="Segoe UI"/>
          <w:b/>
          <w:bCs/>
          <w:color w:val="000000"/>
        </w:rPr>
        <w:t xml:space="preserve"> - </w:t>
      </w:r>
      <w:r w:rsidRPr="008C557F">
        <w:rPr>
          <w:rFonts w:ascii="Segoe UI" w:eastAsia="Calibri" w:hAnsi="Segoe UI" w:cs="Segoe UI"/>
        </w:rPr>
        <w:t>Molto prima di arrivare in Vaticano, la storia di Papa Leone XIV è stata scritta nel nord del</w:t>
      </w:r>
      <w:hyperlink r:id="rId8">
        <w:r w:rsidRPr="008C557F">
          <w:rPr>
            <w:rFonts w:ascii="Segoe UI" w:eastAsia="Calibri" w:hAnsi="Segoe UI" w:cs="Segoe UI"/>
          </w:rPr>
          <w:t xml:space="preserve"> </w:t>
        </w:r>
      </w:hyperlink>
      <w:hyperlink r:id="rId9">
        <w:r w:rsidRPr="008C557F">
          <w:rPr>
            <w:rFonts w:ascii="Segoe UI" w:eastAsia="Calibri" w:hAnsi="Segoe UI" w:cs="Segoe UI"/>
            <w:color w:val="1155CC"/>
            <w:u w:val="single"/>
          </w:rPr>
          <w:t>Perù</w:t>
        </w:r>
      </w:hyperlink>
      <w:r w:rsidRPr="008C557F">
        <w:rPr>
          <w:rFonts w:ascii="Segoe UI" w:eastAsia="Calibri" w:hAnsi="Segoe UI" w:cs="Segoe UI"/>
        </w:rPr>
        <w:t>. È lì, lontano da Roma e dai riflettori, che un giovane missionario ha scoperto un modo di intendere la Chiesa segnato dalla vicinanza, dalla comunità e dall’impegno sociale.</w:t>
      </w:r>
    </w:p>
    <w:p w14:paraId="321A88BB" w14:textId="77777777" w:rsidR="002F3EBC" w:rsidRPr="008C557F" w:rsidRDefault="00000000" w:rsidP="008C557F">
      <w:pPr>
        <w:spacing w:before="240" w:after="240" w:line="276" w:lineRule="auto"/>
        <w:jc w:val="both"/>
        <w:rPr>
          <w:rFonts w:ascii="Segoe UI" w:eastAsia="Calibri" w:hAnsi="Segoe UI" w:cs="Segoe UI"/>
        </w:rPr>
      </w:pPr>
      <w:r w:rsidRPr="008C557F">
        <w:rPr>
          <w:rFonts w:ascii="Segoe UI" w:eastAsia="Calibri" w:hAnsi="Segoe UI" w:cs="Segoe UI"/>
        </w:rPr>
        <w:t>Il legame del Papa con il Perù non appartiene a una fase secondaria della sua vita: è uno dei capitoli che spiegano meglio chi è oggi.</w:t>
      </w:r>
    </w:p>
    <w:p w14:paraId="3EFC3D82" w14:textId="77777777" w:rsidR="002F3EBC" w:rsidRPr="008C557F" w:rsidRDefault="00000000" w:rsidP="008C557F">
      <w:pPr>
        <w:spacing w:before="240" w:after="240" w:line="276" w:lineRule="auto"/>
        <w:jc w:val="both"/>
        <w:rPr>
          <w:rFonts w:ascii="Segoe UI" w:eastAsia="Calibri" w:hAnsi="Segoe UI" w:cs="Segoe UI"/>
          <w:b/>
          <w:bCs/>
        </w:rPr>
      </w:pPr>
      <w:r w:rsidRPr="008C557F">
        <w:rPr>
          <w:rFonts w:ascii="Segoe UI" w:eastAsia="Calibri" w:hAnsi="Segoe UI" w:cs="Segoe UI"/>
        </w:rPr>
        <w:t xml:space="preserve">Di padre francese, madre spagnola e nato a Chicago, Robert Prevost arrivò in Perù nel 1985 come parte di una missione agostiniana. Anni dopo vi fece ritorno per dirigere il seminario agostiniano di </w:t>
      </w:r>
      <w:r w:rsidRPr="008C557F">
        <w:rPr>
          <w:rFonts w:ascii="Segoe UI" w:eastAsia="Calibri" w:hAnsi="Segoe UI" w:cs="Segoe UI"/>
          <w:b/>
          <w:bCs/>
        </w:rPr>
        <w:t xml:space="preserve">Trujillo </w:t>
      </w:r>
      <w:r w:rsidRPr="008C557F">
        <w:rPr>
          <w:rFonts w:ascii="Segoe UI" w:eastAsia="Calibri" w:hAnsi="Segoe UI" w:cs="Segoe UI"/>
        </w:rPr>
        <w:t xml:space="preserve">e, successivamente, fu nominato vescovo di </w:t>
      </w:r>
      <w:r w:rsidRPr="008C557F">
        <w:rPr>
          <w:rFonts w:ascii="Segoe UI" w:eastAsia="Calibri" w:hAnsi="Segoe UI" w:cs="Segoe UI"/>
          <w:b/>
          <w:bCs/>
        </w:rPr>
        <w:t>Chiclayo</w:t>
      </w:r>
      <w:r w:rsidRPr="008C557F">
        <w:rPr>
          <w:rFonts w:ascii="Segoe UI" w:eastAsia="Calibri" w:hAnsi="Segoe UI" w:cs="Segoe UI"/>
        </w:rPr>
        <w:t xml:space="preserve">, alla cui diocesi dedicò parole toccanti dal balcone del Vaticano nel suo primo messaggio come Pontefice. Nel 2015 ottenne inoltre la nazionalità </w:t>
      </w:r>
      <w:r w:rsidRPr="008C557F">
        <w:rPr>
          <w:rFonts w:ascii="Segoe UI" w:eastAsia="Calibri" w:hAnsi="Segoe UI" w:cs="Segoe UI"/>
          <w:b/>
          <w:bCs/>
        </w:rPr>
        <w:t>peruviana</w:t>
      </w:r>
      <w:r w:rsidRPr="008C557F">
        <w:rPr>
          <w:rFonts w:ascii="Segoe UI" w:eastAsia="Calibri" w:hAnsi="Segoe UI" w:cs="Segoe UI"/>
        </w:rPr>
        <w:t>, a testimonianza del profondo legame che mantenne con il Paese e il suo modo di vivere.</w:t>
      </w:r>
    </w:p>
    <w:p w14:paraId="6DD07A51" w14:textId="20FA9CE3" w:rsidR="002F3EBC" w:rsidRPr="008C557F" w:rsidRDefault="00000000" w:rsidP="008C557F">
      <w:pPr>
        <w:spacing w:before="240" w:after="240" w:line="276" w:lineRule="auto"/>
        <w:jc w:val="both"/>
        <w:rPr>
          <w:rFonts w:ascii="Segoe UI" w:eastAsia="Calibri" w:hAnsi="Segoe UI" w:cs="Segoe UI"/>
          <w:b/>
          <w:bCs/>
        </w:rPr>
      </w:pPr>
      <w:r w:rsidRPr="008C557F">
        <w:rPr>
          <w:rFonts w:ascii="Segoe UI" w:eastAsia="Calibri" w:hAnsi="Segoe UI" w:cs="Segoe UI"/>
          <w:b/>
          <w:bCs/>
        </w:rPr>
        <w:t xml:space="preserve">Un itinerario tra fede, cultura e territorio       </w:t>
      </w:r>
      <w:r w:rsidRPr="008C557F">
        <w:rPr>
          <w:rFonts w:ascii="Segoe UI" w:eastAsia="Calibri" w:hAnsi="Segoe UI" w:cs="Segoe UI"/>
          <w:b/>
          <w:bCs/>
        </w:rPr>
        <w:tab/>
      </w:r>
      <w:r w:rsidRPr="008C557F">
        <w:rPr>
          <w:rFonts w:ascii="Segoe UI" w:eastAsia="Calibri" w:hAnsi="Segoe UI" w:cs="Segoe UI"/>
          <w:b/>
          <w:bCs/>
        </w:rPr>
        <w:br/>
      </w:r>
      <w:r w:rsidRPr="008C557F">
        <w:rPr>
          <w:rFonts w:ascii="Segoe UI" w:eastAsia="Calibri" w:hAnsi="Segoe UI" w:cs="Segoe UI"/>
        </w:rPr>
        <w:t xml:space="preserve">Oggi il Perù invita a scoprire un nuovo modo di viaggiare nel Paese attraverso </w:t>
      </w:r>
      <w:r w:rsidRPr="008C557F">
        <w:rPr>
          <w:rFonts w:ascii="Segoe UI" w:eastAsia="Calibri" w:hAnsi="Segoe UI" w:cs="Segoe UI"/>
          <w:b/>
          <w:bCs/>
        </w:rPr>
        <w:t>la Ruta de León</w:t>
      </w:r>
      <w:r w:rsidRPr="008C557F">
        <w:rPr>
          <w:rFonts w:ascii="Segoe UI" w:eastAsia="Calibri" w:hAnsi="Segoe UI" w:cs="Segoe UI"/>
        </w:rPr>
        <w:t xml:space="preserve">, un </w:t>
      </w:r>
      <w:r w:rsidRPr="008C557F">
        <w:rPr>
          <w:rFonts w:ascii="Segoe UI" w:eastAsia="Calibri" w:hAnsi="Segoe UI" w:cs="Segoe UI"/>
        </w:rPr>
        <w:lastRenderedPageBreak/>
        <w:t>itinerario ispirato agli oltre due decenni che Prevost ha vissuto sul territorio.</w:t>
      </w:r>
      <w:r w:rsidR="008C557F">
        <w:rPr>
          <w:rFonts w:ascii="Segoe UI" w:eastAsia="Calibri" w:hAnsi="Segoe UI" w:cs="Segoe UI"/>
        </w:rPr>
        <w:tab/>
      </w:r>
      <w:r w:rsidRPr="008C557F">
        <w:rPr>
          <w:rFonts w:ascii="Segoe UI" w:eastAsia="Calibri" w:hAnsi="Segoe UI" w:cs="Segoe UI"/>
        </w:rPr>
        <w:br/>
      </w:r>
      <w:r w:rsidRPr="008C557F">
        <w:rPr>
          <w:rFonts w:ascii="Segoe UI" w:eastAsia="Calibri" w:hAnsi="Segoe UI" w:cs="Segoe UI"/>
        </w:rPr>
        <w:br/>
        <w:t xml:space="preserve">Il percorso propone un viaggio attraverso </w:t>
      </w:r>
      <w:r w:rsidRPr="008C557F">
        <w:rPr>
          <w:rFonts w:ascii="Segoe UI" w:eastAsia="Calibri" w:hAnsi="Segoe UI" w:cs="Segoe UI"/>
          <w:b/>
          <w:bCs/>
        </w:rPr>
        <w:t>38 attrazioni turistiche</w:t>
      </w:r>
      <w:r w:rsidRPr="008C557F">
        <w:rPr>
          <w:rFonts w:ascii="Segoe UI" w:eastAsia="Calibri" w:hAnsi="Segoe UI" w:cs="Segoe UI"/>
        </w:rPr>
        <w:t xml:space="preserve">, tra cui chiese, santuari, piazze, mercati e paesaggi dove cultura e fede convivono quotidianamente. </w:t>
      </w:r>
    </w:p>
    <w:p w14:paraId="71F16A50" w14:textId="77777777" w:rsidR="002F3EBC" w:rsidRPr="008C557F" w:rsidRDefault="00000000" w:rsidP="008C557F">
      <w:pPr>
        <w:spacing w:after="240" w:line="276" w:lineRule="auto"/>
        <w:jc w:val="both"/>
        <w:rPr>
          <w:rFonts w:ascii="Segoe UI" w:eastAsia="Calibri" w:hAnsi="Segoe UI" w:cs="Segoe UI"/>
          <w:b/>
          <w:bCs/>
        </w:rPr>
      </w:pPr>
      <w:r w:rsidRPr="008C557F">
        <w:rPr>
          <w:rFonts w:ascii="Segoe UI" w:eastAsia="Calibri" w:hAnsi="Segoe UI" w:cs="Segoe UI"/>
          <w:b/>
          <w:bCs/>
        </w:rPr>
        <w:t>Il Perù che ha segnato la vita di Leone XIV</w:t>
      </w:r>
    </w:p>
    <w:p w14:paraId="558866B0" w14:textId="77777777" w:rsidR="002F3EBC" w:rsidRPr="008C557F" w:rsidRDefault="00000000" w:rsidP="008C557F">
      <w:pPr>
        <w:spacing w:before="220" w:after="220" w:line="276" w:lineRule="auto"/>
        <w:jc w:val="both"/>
        <w:rPr>
          <w:rFonts w:ascii="Segoe UI" w:eastAsia="Calibri" w:hAnsi="Segoe UI" w:cs="Segoe UI"/>
        </w:rPr>
      </w:pPr>
      <w:r w:rsidRPr="008C557F">
        <w:rPr>
          <w:rFonts w:ascii="Segoe UI" w:eastAsia="Calibri" w:hAnsi="Segoe UI" w:cs="Segoe UI"/>
        </w:rPr>
        <w:t xml:space="preserve">La Ruta de León si snoda attraverso regioni che offrono diversi modi di comprendere il Paese e delineano un viaggio variegato e profondamente connesso al territorio. In </w:t>
      </w:r>
      <w:proofErr w:type="spellStart"/>
      <w:r w:rsidRPr="008C557F">
        <w:rPr>
          <w:rFonts w:ascii="Segoe UI" w:eastAsia="Calibri" w:hAnsi="Segoe UI" w:cs="Segoe UI"/>
          <w:b/>
          <w:bCs/>
        </w:rPr>
        <w:t>Lambayeque</w:t>
      </w:r>
      <w:proofErr w:type="spellEnd"/>
      <w:r w:rsidRPr="008C557F">
        <w:rPr>
          <w:rFonts w:ascii="Segoe UI" w:eastAsia="Calibri" w:hAnsi="Segoe UI" w:cs="Segoe UI"/>
        </w:rPr>
        <w:t>, il percorso trova uno dei suoi principali punti di riferimento. Chiclayo, capoluogo della regione e sede pastorale del Pontefice per quasi un decennio, diventa uno dei fulcri centrali dell’itinerario. Qui si trova l’esposizione permanente “Sui cammini di Leone XIV”, che racconta il suo stretto legame con il nord del Perù.</w:t>
      </w:r>
    </w:p>
    <w:p w14:paraId="6CD84FDE" w14:textId="77777777" w:rsidR="002F3EBC" w:rsidRPr="008C557F" w:rsidRDefault="00000000" w:rsidP="008C557F">
      <w:pPr>
        <w:spacing w:before="220" w:after="220" w:line="276" w:lineRule="auto"/>
        <w:jc w:val="both"/>
        <w:rPr>
          <w:rFonts w:ascii="Segoe UI" w:eastAsia="Calibri" w:hAnsi="Segoe UI" w:cs="Segoe UI"/>
        </w:rPr>
      </w:pPr>
      <w:r w:rsidRPr="008C557F">
        <w:rPr>
          <w:rFonts w:ascii="Segoe UI" w:eastAsia="Calibri" w:hAnsi="Segoe UI" w:cs="Segoe UI"/>
        </w:rPr>
        <w:t xml:space="preserve">La regione custodisce alcuni dei più importanti tesori culturali del Paese. La Cattedrale di </w:t>
      </w:r>
      <w:r w:rsidRPr="008C557F">
        <w:rPr>
          <w:rFonts w:ascii="Segoe UI" w:eastAsia="Calibri" w:hAnsi="Segoe UI" w:cs="Segoe UI"/>
          <w:b/>
          <w:bCs/>
        </w:rPr>
        <w:t xml:space="preserve">Chiclayo </w:t>
      </w:r>
      <w:r w:rsidRPr="008C557F">
        <w:rPr>
          <w:rFonts w:ascii="Segoe UI" w:eastAsia="Calibri" w:hAnsi="Segoe UI" w:cs="Segoe UI"/>
        </w:rPr>
        <w:t xml:space="preserve">convive con siti archeologici come le piramidi di adobe di </w:t>
      </w:r>
      <w:proofErr w:type="spellStart"/>
      <w:r w:rsidRPr="008C557F">
        <w:rPr>
          <w:rFonts w:ascii="Segoe UI" w:eastAsia="Calibri" w:hAnsi="Segoe UI" w:cs="Segoe UI"/>
        </w:rPr>
        <w:t>Túcume</w:t>
      </w:r>
      <w:proofErr w:type="spellEnd"/>
      <w:r w:rsidRPr="008C557F">
        <w:rPr>
          <w:rFonts w:ascii="Segoe UI" w:eastAsia="Calibri" w:hAnsi="Segoe UI" w:cs="Segoe UI"/>
        </w:rPr>
        <w:t xml:space="preserve">, il Museo delle Tombe Reali di </w:t>
      </w:r>
      <w:proofErr w:type="spellStart"/>
      <w:r w:rsidRPr="008C557F">
        <w:rPr>
          <w:rFonts w:ascii="Segoe UI" w:eastAsia="Calibri" w:hAnsi="Segoe UI" w:cs="Segoe UI"/>
        </w:rPr>
        <w:t>Sipán</w:t>
      </w:r>
      <w:proofErr w:type="spellEnd"/>
      <w:r w:rsidRPr="008C557F">
        <w:rPr>
          <w:rFonts w:ascii="Segoe UI" w:eastAsia="Calibri" w:hAnsi="Segoe UI" w:cs="Segoe UI"/>
        </w:rPr>
        <w:t xml:space="preserve"> o il Santuario Storico Bosque de Pómac. Il viaggio si completa con località balneari come Pimentel e con una gastronomia riconosciuta a livello nazionale, in cui piatti come l’</w:t>
      </w:r>
      <w:proofErr w:type="spellStart"/>
      <w:r w:rsidRPr="008C557F">
        <w:rPr>
          <w:rFonts w:ascii="Segoe UI" w:eastAsia="Calibri" w:hAnsi="Segoe UI" w:cs="Segoe UI"/>
        </w:rPr>
        <w:t>arroz</w:t>
      </w:r>
      <w:proofErr w:type="spellEnd"/>
      <w:r w:rsidRPr="008C557F">
        <w:rPr>
          <w:rFonts w:ascii="Segoe UI" w:eastAsia="Calibri" w:hAnsi="Segoe UI" w:cs="Segoe UI"/>
        </w:rPr>
        <w:t xml:space="preserve"> con </w:t>
      </w:r>
      <w:proofErr w:type="spellStart"/>
      <w:r w:rsidRPr="008C557F">
        <w:rPr>
          <w:rFonts w:ascii="Segoe UI" w:eastAsia="Calibri" w:hAnsi="Segoe UI" w:cs="Segoe UI"/>
        </w:rPr>
        <w:t>pato</w:t>
      </w:r>
      <w:proofErr w:type="spellEnd"/>
      <w:r w:rsidRPr="008C557F">
        <w:rPr>
          <w:rFonts w:ascii="Segoe UI" w:eastAsia="Calibri" w:hAnsi="Segoe UI" w:cs="Segoe UI"/>
        </w:rPr>
        <w:t xml:space="preserve">, il seco de </w:t>
      </w:r>
      <w:proofErr w:type="spellStart"/>
      <w:r w:rsidRPr="008C557F">
        <w:rPr>
          <w:rFonts w:ascii="Segoe UI" w:eastAsia="Calibri" w:hAnsi="Segoe UI" w:cs="Segoe UI"/>
        </w:rPr>
        <w:t>cabrito</w:t>
      </w:r>
      <w:proofErr w:type="spellEnd"/>
      <w:r w:rsidRPr="008C557F">
        <w:rPr>
          <w:rFonts w:ascii="Segoe UI" w:eastAsia="Calibri" w:hAnsi="Segoe UI" w:cs="Segoe UI"/>
        </w:rPr>
        <w:t xml:space="preserve"> o il </w:t>
      </w:r>
      <w:proofErr w:type="spellStart"/>
      <w:r w:rsidRPr="008C557F">
        <w:rPr>
          <w:rFonts w:ascii="Segoe UI" w:eastAsia="Calibri" w:hAnsi="Segoe UI" w:cs="Segoe UI"/>
        </w:rPr>
        <w:t>chinguirito</w:t>
      </w:r>
      <w:proofErr w:type="spellEnd"/>
      <w:r w:rsidRPr="008C557F">
        <w:rPr>
          <w:rFonts w:ascii="Segoe UI" w:eastAsia="Calibri" w:hAnsi="Segoe UI" w:cs="Segoe UI"/>
        </w:rPr>
        <w:t xml:space="preserve"> riflettono la ricchezza culinaria del territorio.</w:t>
      </w:r>
    </w:p>
    <w:p w14:paraId="417CE0FF" w14:textId="77777777" w:rsidR="002F3EBC" w:rsidRPr="008C557F" w:rsidRDefault="00000000" w:rsidP="008C557F">
      <w:pPr>
        <w:spacing w:before="220" w:after="220" w:line="276" w:lineRule="auto"/>
        <w:jc w:val="both"/>
        <w:rPr>
          <w:rFonts w:ascii="Segoe UI" w:eastAsia="Calibri" w:hAnsi="Segoe UI" w:cs="Segoe UI"/>
        </w:rPr>
      </w:pPr>
      <w:r w:rsidRPr="008C557F">
        <w:rPr>
          <w:rFonts w:ascii="Segoe UI" w:eastAsia="Calibri" w:hAnsi="Segoe UI" w:cs="Segoe UI"/>
        </w:rPr>
        <w:t xml:space="preserve">Il percorso prosegue verso </w:t>
      </w:r>
      <w:r w:rsidRPr="008C557F">
        <w:rPr>
          <w:rFonts w:ascii="Segoe UI" w:eastAsia="Calibri" w:hAnsi="Segoe UI" w:cs="Segoe UI"/>
          <w:b/>
          <w:bCs/>
        </w:rPr>
        <w:t>Piura</w:t>
      </w:r>
      <w:r w:rsidRPr="008C557F">
        <w:rPr>
          <w:rFonts w:ascii="Segoe UI" w:eastAsia="Calibri" w:hAnsi="Segoe UI" w:cs="Segoe UI"/>
        </w:rPr>
        <w:t xml:space="preserve">, dove il Papa iniziò la sua prima missione agostiniana nel 1985. Il distretto di </w:t>
      </w:r>
      <w:proofErr w:type="spellStart"/>
      <w:r w:rsidRPr="008C557F">
        <w:rPr>
          <w:rFonts w:ascii="Segoe UI" w:eastAsia="Calibri" w:hAnsi="Segoe UI" w:cs="Segoe UI"/>
        </w:rPr>
        <w:t>Chulucanas</w:t>
      </w:r>
      <w:proofErr w:type="spellEnd"/>
      <w:r w:rsidRPr="008C557F">
        <w:rPr>
          <w:rFonts w:ascii="Segoe UI" w:eastAsia="Calibri" w:hAnsi="Segoe UI" w:cs="Segoe UI"/>
        </w:rPr>
        <w:t xml:space="preserve">, famoso per la sua ceramica in bianco e nero, conserva ancora oggi parte di quella memoria pastorale tra laboratori artigianali, piazze e templi storici. Luoghi come la Cattedrale della Sacra Famiglia di </w:t>
      </w:r>
      <w:proofErr w:type="spellStart"/>
      <w:r w:rsidRPr="008C557F">
        <w:rPr>
          <w:rFonts w:ascii="Segoe UI" w:eastAsia="Calibri" w:hAnsi="Segoe UI" w:cs="Segoe UI"/>
        </w:rPr>
        <w:t>Chulucanas</w:t>
      </w:r>
      <w:proofErr w:type="spellEnd"/>
      <w:r w:rsidRPr="008C557F">
        <w:rPr>
          <w:rFonts w:ascii="Segoe UI" w:eastAsia="Calibri" w:hAnsi="Segoe UI" w:cs="Segoe UI"/>
        </w:rPr>
        <w:t xml:space="preserve">, la parrocchia San José Obrero e il centro di formazione Villa La Buena Nueva fanno parte dell’itinerario, insieme a piccole località come La </w:t>
      </w:r>
      <w:proofErr w:type="spellStart"/>
      <w:r w:rsidRPr="008C557F">
        <w:rPr>
          <w:rFonts w:ascii="Segoe UI" w:eastAsia="Calibri" w:hAnsi="Segoe UI" w:cs="Segoe UI"/>
        </w:rPr>
        <w:t>Encantada</w:t>
      </w:r>
      <w:proofErr w:type="spellEnd"/>
      <w:r w:rsidRPr="008C557F">
        <w:rPr>
          <w:rFonts w:ascii="Segoe UI" w:eastAsia="Calibri" w:hAnsi="Segoe UI" w:cs="Segoe UI"/>
        </w:rPr>
        <w:t xml:space="preserve"> o il villaggio di Cruz Pampa </w:t>
      </w:r>
      <w:proofErr w:type="spellStart"/>
      <w:r w:rsidRPr="008C557F">
        <w:rPr>
          <w:rFonts w:ascii="Segoe UI" w:eastAsia="Calibri" w:hAnsi="Segoe UI" w:cs="Segoe UI"/>
        </w:rPr>
        <w:t>Yapatera</w:t>
      </w:r>
      <w:proofErr w:type="spellEnd"/>
      <w:r w:rsidRPr="008C557F">
        <w:rPr>
          <w:rFonts w:ascii="Segoe UI" w:eastAsia="Calibri" w:hAnsi="Segoe UI" w:cs="Segoe UI"/>
        </w:rPr>
        <w:t>, dove le tradizioni restano profondamente radicate.</w:t>
      </w:r>
    </w:p>
    <w:p w14:paraId="6ED07F75" w14:textId="77777777" w:rsidR="002F3EBC" w:rsidRPr="008C557F" w:rsidRDefault="00000000" w:rsidP="008C557F">
      <w:pPr>
        <w:spacing w:before="220" w:after="220" w:line="276" w:lineRule="auto"/>
        <w:jc w:val="both"/>
        <w:rPr>
          <w:rFonts w:ascii="Segoe UI" w:eastAsia="Calibri" w:hAnsi="Segoe UI" w:cs="Segoe UI"/>
        </w:rPr>
      </w:pPr>
      <w:r w:rsidRPr="008C557F">
        <w:rPr>
          <w:rFonts w:ascii="Segoe UI" w:eastAsia="Calibri" w:hAnsi="Segoe UI" w:cs="Segoe UI"/>
        </w:rPr>
        <w:t xml:space="preserve">Nella regione di </w:t>
      </w:r>
      <w:r w:rsidRPr="008C557F">
        <w:rPr>
          <w:rFonts w:ascii="Segoe UI" w:eastAsia="Calibri" w:hAnsi="Segoe UI" w:cs="Segoe UI"/>
          <w:b/>
          <w:bCs/>
        </w:rPr>
        <w:t>La</w:t>
      </w:r>
      <w:r w:rsidRPr="008C557F">
        <w:rPr>
          <w:rFonts w:ascii="Segoe UI" w:eastAsia="Calibri" w:hAnsi="Segoe UI" w:cs="Segoe UI"/>
        </w:rPr>
        <w:t xml:space="preserve"> </w:t>
      </w:r>
      <w:r w:rsidRPr="008C557F">
        <w:rPr>
          <w:rFonts w:ascii="Segoe UI" w:eastAsia="Calibri" w:hAnsi="Segoe UI" w:cs="Segoe UI"/>
          <w:b/>
          <w:bCs/>
        </w:rPr>
        <w:t>Libertad</w:t>
      </w:r>
      <w:r w:rsidRPr="008C557F">
        <w:rPr>
          <w:rFonts w:ascii="Segoe UI" w:eastAsia="Calibri" w:hAnsi="Segoe UI" w:cs="Segoe UI"/>
        </w:rPr>
        <w:t xml:space="preserve">, l’itinerario mette in luce soprattutto il ruolo accademico e formativo del Pontefice, che vi risiedette dalla fine degli anni Ottanta al 1999 come docente, direttore della formazione, parroco e vicario giudiziale. Il percorso include luoghi come il Seminario Maggiore San Carlos e San Marcelo e l’Arcivescovado di Trujillo, oltre a importanti siti patrimoniali come la cittadella di Chan </w:t>
      </w:r>
      <w:proofErr w:type="spellStart"/>
      <w:r w:rsidRPr="008C557F">
        <w:rPr>
          <w:rFonts w:ascii="Segoe UI" w:eastAsia="Calibri" w:hAnsi="Segoe UI" w:cs="Segoe UI"/>
        </w:rPr>
        <w:t>Chan</w:t>
      </w:r>
      <w:proofErr w:type="spellEnd"/>
      <w:r w:rsidRPr="008C557F">
        <w:rPr>
          <w:rFonts w:ascii="Segoe UI" w:eastAsia="Calibri" w:hAnsi="Segoe UI" w:cs="Segoe UI"/>
        </w:rPr>
        <w:t xml:space="preserve"> (Patrimonio Mondiale dell’UNESCO), il centro storico di Trujillo e la spiaggia di </w:t>
      </w:r>
      <w:proofErr w:type="spellStart"/>
      <w:r w:rsidRPr="008C557F">
        <w:rPr>
          <w:rFonts w:ascii="Segoe UI" w:eastAsia="Calibri" w:hAnsi="Segoe UI" w:cs="Segoe UI"/>
        </w:rPr>
        <w:t>Huanchaco</w:t>
      </w:r>
      <w:proofErr w:type="spellEnd"/>
      <w:r w:rsidRPr="008C557F">
        <w:rPr>
          <w:rFonts w:ascii="Segoe UI" w:eastAsia="Calibri" w:hAnsi="Segoe UI" w:cs="Segoe UI"/>
        </w:rPr>
        <w:t>.</w:t>
      </w:r>
    </w:p>
    <w:p w14:paraId="4FB6B020" w14:textId="77777777" w:rsidR="002F3EBC" w:rsidRPr="008C557F" w:rsidRDefault="00000000" w:rsidP="008C557F">
      <w:pPr>
        <w:spacing w:before="220" w:after="220" w:line="276" w:lineRule="auto"/>
        <w:jc w:val="both"/>
        <w:rPr>
          <w:rFonts w:ascii="Segoe UI" w:eastAsia="Calibri" w:hAnsi="Segoe UI" w:cs="Segoe UI"/>
        </w:rPr>
      </w:pPr>
      <w:r w:rsidRPr="008C557F">
        <w:rPr>
          <w:rFonts w:ascii="Segoe UI" w:eastAsia="Calibri" w:hAnsi="Segoe UI" w:cs="Segoe UI"/>
          <w:b/>
          <w:bCs/>
        </w:rPr>
        <w:t>Il viaggio si conclude a Callao</w:t>
      </w:r>
      <w:r w:rsidRPr="008C557F">
        <w:rPr>
          <w:rFonts w:ascii="Segoe UI" w:eastAsia="Calibri" w:hAnsi="Segoe UI" w:cs="Segoe UI"/>
        </w:rPr>
        <w:t>, l’unica provincia costituzionale del Perù, dove Leone XIV ha svolto il ruolo di amministratore apostolico tra il 2020 e il 2021, costruendo uno stretto rapporto con le comunità locali. Oltre ai suoi luoghi storici e marittimi, questa ultima tappa invita a scoprire un lato più recente e vicino del Pontefice, segnato dal lavoro pastorale e dal contatto diretto con la vita quotidiana del porto. Luoghi come la Chiesa Madre del Callao, la parrocchia Santa Rosa, la Fortezza Real Felipe, La Punta o le Isole Palomino permettono di esplorare non solo alcuni dei paesaggi più iconici della regione, ma anche i luoghi che hanno caratterizzato gli ultimi anni di missione di colui che oggi guida la Chiesa cattolica.</w:t>
      </w:r>
    </w:p>
    <w:p w14:paraId="2E8FA8F2" w14:textId="156894ED" w:rsidR="002F3EBC" w:rsidRPr="008C557F" w:rsidRDefault="00000000" w:rsidP="008C557F">
      <w:pPr>
        <w:spacing w:after="240" w:line="276" w:lineRule="auto"/>
        <w:jc w:val="both"/>
        <w:rPr>
          <w:rFonts w:ascii="Segoe UI" w:eastAsia="Calibri" w:hAnsi="Segoe UI" w:cs="Segoe UI"/>
        </w:rPr>
      </w:pPr>
      <w:r w:rsidRPr="008C557F">
        <w:rPr>
          <w:rFonts w:ascii="Segoe UI" w:eastAsia="Calibri" w:hAnsi="Segoe UI" w:cs="Segoe UI"/>
          <w:b/>
          <w:bCs/>
        </w:rPr>
        <w:lastRenderedPageBreak/>
        <w:t>Un invito</w:t>
      </w:r>
      <w:r w:rsidR="008C557F">
        <w:rPr>
          <w:rFonts w:ascii="Segoe UI" w:eastAsia="Calibri" w:hAnsi="Segoe UI" w:cs="Segoe UI"/>
          <w:b/>
          <w:bCs/>
        </w:rPr>
        <w:t xml:space="preserve"> </w:t>
      </w:r>
      <w:r w:rsidRPr="008C557F">
        <w:rPr>
          <w:rFonts w:ascii="Segoe UI" w:eastAsia="Calibri" w:hAnsi="Segoe UI" w:cs="Segoe UI"/>
          <w:b/>
          <w:bCs/>
        </w:rPr>
        <w:t>a viaggiare con senso</w:t>
      </w:r>
      <w:r w:rsidR="008C557F">
        <w:rPr>
          <w:rFonts w:ascii="Segoe UI" w:eastAsia="Calibri" w:hAnsi="Segoe UI" w:cs="Segoe UI"/>
          <w:b/>
          <w:bCs/>
        </w:rPr>
        <w:tab/>
      </w:r>
      <w:r w:rsidRPr="008C557F">
        <w:rPr>
          <w:rFonts w:ascii="Segoe UI" w:eastAsia="Calibri" w:hAnsi="Segoe UI" w:cs="Segoe UI"/>
          <w:b/>
          <w:bCs/>
        </w:rPr>
        <w:br/>
        <w:t>La Ruta de León</w:t>
      </w:r>
      <w:r w:rsidRPr="008C557F">
        <w:rPr>
          <w:rFonts w:ascii="Segoe UI" w:eastAsia="Calibri" w:hAnsi="Segoe UI" w:cs="Segoe UI"/>
        </w:rPr>
        <w:t xml:space="preserve"> si inserisce nell’impegno del Perù a promuovere un </w:t>
      </w:r>
      <w:r w:rsidRPr="008C557F">
        <w:rPr>
          <w:rFonts w:ascii="Segoe UI" w:eastAsia="Calibri" w:hAnsi="Segoe UI" w:cs="Segoe UI"/>
          <w:b/>
          <w:bCs/>
        </w:rPr>
        <w:t>turismo religioso</w:t>
      </w:r>
      <w:r w:rsidRPr="008C557F">
        <w:rPr>
          <w:rFonts w:ascii="Segoe UI" w:eastAsia="Calibri" w:hAnsi="Segoe UI" w:cs="Segoe UI"/>
        </w:rPr>
        <w:t>, culturale e sostenibile, legato alla spiritualità, alle tradizioni e a esperienze con una forte identità locale.</w:t>
      </w:r>
    </w:p>
    <w:p w14:paraId="58512647" w14:textId="77777777" w:rsidR="002F3EBC" w:rsidRPr="008C557F" w:rsidRDefault="00000000" w:rsidP="008C557F">
      <w:pPr>
        <w:spacing w:after="240" w:line="276" w:lineRule="auto"/>
        <w:jc w:val="both"/>
        <w:rPr>
          <w:rFonts w:ascii="Segoe UI" w:eastAsia="Calibri" w:hAnsi="Segoe UI" w:cs="Segoe UI"/>
        </w:rPr>
      </w:pPr>
      <w:r w:rsidRPr="008C557F">
        <w:rPr>
          <w:rFonts w:ascii="Segoe UI" w:eastAsia="Calibri" w:hAnsi="Segoe UI" w:cs="Segoe UI"/>
        </w:rPr>
        <w:t xml:space="preserve">In questa stessa direzione, il Paese ha recentemente annunciato il suo ingresso nella </w:t>
      </w:r>
      <w:r w:rsidRPr="008C557F">
        <w:rPr>
          <w:rFonts w:ascii="Segoe UI" w:eastAsia="Calibri" w:hAnsi="Segoe UI" w:cs="Segoe UI"/>
          <w:b/>
          <w:bCs/>
        </w:rPr>
        <w:t>Rete Mondiale del Turismo Religioso</w:t>
      </w:r>
      <w:r w:rsidRPr="008C557F">
        <w:rPr>
          <w:rFonts w:ascii="Segoe UI" w:eastAsia="Calibri" w:hAnsi="Segoe UI" w:cs="Segoe UI"/>
        </w:rPr>
        <w:t>, rafforzando il proprio posizionamento internazionale in questo segmento.</w:t>
      </w:r>
    </w:p>
    <w:p w14:paraId="3C364DE1" w14:textId="77777777" w:rsidR="002F3EBC" w:rsidRPr="008C557F" w:rsidRDefault="00000000" w:rsidP="008C557F">
      <w:pPr>
        <w:pBdr>
          <w:top w:val="nil"/>
          <w:left w:val="nil"/>
          <w:bottom w:val="nil"/>
          <w:right w:val="nil"/>
          <w:between w:val="nil"/>
        </w:pBdr>
        <w:spacing w:before="280" w:after="280" w:line="276" w:lineRule="auto"/>
        <w:jc w:val="center"/>
        <w:rPr>
          <w:rFonts w:ascii="Segoe UI" w:eastAsia="Calibri" w:hAnsi="Segoe UI" w:cs="Segoe UI"/>
          <w:b/>
          <w:bCs/>
        </w:rPr>
      </w:pPr>
      <w:r w:rsidRPr="008C557F">
        <w:rPr>
          <w:rFonts w:ascii="Segoe UI" w:eastAsia="Calibri" w:hAnsi="Segoe UI" w:cs="Segoe UI"/>
          <w:b/>
          <w:bCs/>
        </w:rPr>
        <w:t>-fine-</w:t>
      </w:r>
    </w:p>
    <w:p w14:paraId="0A5693A6" w14:textId="77777777" w:rsidR="002F3EBC" w:rsidRPr="008C557F" w:rsidRDefault="002F3EBC" w:rsidP="008C557F">
      <w:pPr>
        <w:spacing w:line="276" w:lineRule="auto"/>
        <w:ind w:right="-82"/>
        <w:jc w:val="both"/>
        <w:rPr>
          <w:rFonts w:ascii="Segoe UI" w:eastAsia="Calibri" w:hAnsi="Segoe UI" w:cs="Segoe UI"/>
          <w:b/>
          <w:bCs/>
        </w:rPr>
      </w:pPr>
    </w:p>
    <w:p w14:paraId="366AF1CA" w14:textId="77777777" w:rsidR="002F3EBC" w:rsidRPr="008C557F" w:rsidRDefault="00000000" w:rsidP="008C557F">
      <w:pPr>
        <w:spacing w:line="276" w:lineRule="auto"/>
        <w:jc w:val="both"/>
        <w:rPr>
          <w:rFonts w:ascii="Segoe UI" w:eastAsia="Calibri" w:hAnsi="Segoe UI" w:cs="Segoe UI"/>
          <w:b/>
          <w:bCs/>
          <w:sz w:val="20"/>
          <w:szCs w:val="20"/>
        </w:rPr>
      </w:pPr>
      <w:r w:rsidRPr="008C557F">
        <w:rPr>
          <w:rFonts w:ascii="Segoe UI" w:eastAsia="Calibri" w:hAnsi="Segoe UI" w:cs="Segoe UI"/>
          <w:b/>
          <w:bCs/>
          <w:sz w:val="20"/>
          <w:szCs w:val="20"/>
        </w:rPr>
        <w:t>Su PROMPERÚ</w:t>
      </w:r>
    </w:p>
    <w:p w14:paraId="3FCAABD9" w14:textId="77777777" w:rsidR="002F3EBC" w:rsidRPr="008C557F" w:rsidRDefault="00000000" w:rsidP="008C557F">
      <w:pPr>
        <w:spacing w:before="240" w:after="240" w:line="276" w:lineRule="auto"/>
        <w:jc w:val="both"/>
        <w:rPr>
          <w:rFonts w:ascii="Segoe UI" w:eastAsia="Calibri" w:hAnsi="Segoe UI" w:cs="Segoe UI"/>
          <w:sz w:val="20"/>
          <w:szCs w:val="20"/>
        </w:rPr>
      </w:pPr>
      <w:r w:rsidRPr="008C557F">
        <w:rPr>
          <w:rFonts w:ascii="Segoe UI" w:eastAsia="Calibri" w:hAnsi="Segoe UI" w:cs="Segoe UI"/>
          <w:b/>
          <w:bCs/>
          <w:sz w:val="20"/>
          <w:szCs w:val="20"/>
        </w:rPr>
        <w:t>La Commissione per la Promozione del Perù per l’Esportazione e il Turismo (PROMPERÚ)</w:t>
      </w:r>
      <w:r w:rsidRPr="008C557F">
        <w:rPr>
          <w:rFonts w:ascii="Segoe UI" w:eastAsia="Calibri" w:hAnsi="Segoe UI" w:cs="Segoe UI"/>
          <w:sz w:val="20"/>
          <w:szCs w:val="20"/>
        </w:rPr>
        <w:t xml:space="preserve"> è un ente dipendente dal Ministero del Commercio Estero e del Turismo del Perù, incaricato di formulare, approvare, attuare e valutare le strategie e i piani di promozione dell’immagine del Perù nei settori del turismo, delle esportazioni e degli investimenti esteri diretti nel paese.</w:t>
      </w:r>
    </w:p>
    <w:p w14:paraId="5D2F7906" w14:textId="77777777" w:rsidR="002F3EBC" w:rsidRPr="008C557F" w:rsidRDefault="00000000" w:rsidP="008C557F">
      <w:pPr>
        <w:spacing w:before="240" w:after="240" w:line="276" w:lineRule="auto"/>
        <w:jc w:val="both"/>
        <w:rPr>
          <w:rFonts w:ascii="Segoe UI" w:hAnsi="Segoe UI" w:cs="Segoe UI"/>
          <w:color w:val="467886"/>
          <w:sz w:val="20"/>
          <w:szCs w:val="20"/>
          <w:u w:val="single"/>
        </w:rPr>
      </w:pPr>
      <w:r w:rsidRPr="008C557F">
        <w:rPr>
          <w:rFonts w:ascii="Segoe UI" w:eastAsia="Calibri" w:hAnsi="Segoe UI" w:cs="Segoe UI"/>
          <w:sz w:val="20"/>
          <w:szCs w:val="20"/>
        </w:rPr>
        <w:t xml:space="preserve">Per scoprire di più sul Perù e sulle sue meraviglie, visita: </w:t>
      </w:r>
      <w:hyperlink r:id="rId10">
        <w:r w:rsidRPr="008C557F">
          <w:rPr>
            <w:rFonts w:ascii="Segoe UI" w:hAnsi="Segoe UI" w:cs="Segoe UI"/>
            <w:color w:val="467886"/>
            <w:sz w:val="20"/>
            <w:szCs w:val="20"/>
            <w:u w:val="single"/>
          </w:rPr>
          <w:t>www.peru.travel/it</w:t>
        </w:r>
      </w:hyperlink>
      <w:r w:rsidRPr="008C557F">
        <w:rPr>
          <w:rFonts w:ascii="Segoe UI" w:hAnsi="Segoe UI" w:cs="Segoe UI"/>
          <w:color w:val="467886"/>
          <w:sz w:val="20"/>
          <w:szCs w:val="20"/>
          <w:u w:val="single"/>
        </w:rPr>
        <w:t xml:space="preserve"> </w:t>
      </w:r>
    </w:p>
    <w:p w14:paraId="0142C92E" w14:textId="77777777" w:rsidR="002F3EBC" w:rsidRPr="008C557F" w:rsidRDefault="00000000" w:rsidP="008C557F">
      <w:pPr>
        <w:spacing w:line="276" w:lineRule="auto"/>
        <w:jc w:val="both"/>
        <w:rPr>
          <w:rFonts w:ascii="Segoe UI" w:eastAsia="Calibri" w:hAnsi="Segoe UI" w:cs="Segoe UI"/>
          <w:color w:val="000000"/>
          <w:sz w:val="20"/>
          <w:szCs w:val="20"/>
        </w:rPr>
      </w:pPr>
      <w:r w:rsidRPr="008C557F">
        <w:rPr>
          <w:rFonts w:ascii="Segoe UI" w:eastAsia="Calibri" w:hAnsi="Segoe UI" w:cs="Segoe UI"/>
          <w:b/>
          <w:bCs/>
          <w:color w:val="000000"/>
          <w:sz w:val="20"/>
          <w:szCs w:val="20"/>
        </w:rPr>
        <w:t>Per ulteriori informazioni stampa contattare:</w:t>
      </w:r>
    </w:p>
    <w:tbl>
      <w:tblPr>
        <w:tblStyle w:val="a"/>
        <w:tblW w:w="9900" w:type="dxa"/>
        <w:tblInd w:w="0" w:type="dxa"/>
        <w:tblLayout w:type="fixed"/>
        <w:tblLook w:val="0400" w:firstRow="0" w:lastRow="0" w:firstColumn="0" w:lastColumn="0" w:noHBand="0" w:noVBand="1"/>
      </w:tblPr>
      <w:tblGrid>
        <w:gridCol w:w="9900"/>
      </w:tblGrid>
      <w:tr w:rsidR="002F3EBC" w:rsidRPr="008C557F" w14:paraId="32998BC7" w14:textId="77777777">
        <w:trPr>
          <w:trHeight w:val="24"/>
        </w:trPr>
        <w:tc>
          <w:tcPr>
            <w:tcW w:w="9900" w:type="dxa"/>
            <w:tcMar>
              <w:top w:w="75" w:type="dxa"/>
              <w:left w:w="15" w:type="dxa"/>
              <w:bottom w:w="15" w:type="dxa"/>
              <w:right w:w="15" w:type="dxa"/>
            </w:tcMar>
            <w:vAlign w:val="center"/>
          </w:tcPr>
          <w:p w14:paraId="7A2C8FB2" w14:textId="77777777" w:rsidR="002F3EBC" w:rsidRPr="008C557F" w:rsidRDefault="00000000" w:rsidP="008C557F">
            <w:pPr>
              <w:spacing w:after="0" w:line="276" w:lineRule="auto"/>
              <w:jc w:val="both"/>
              <w:rPr>
                <w:rFonts w:ascii="Segoe UI" w:eastAsia="Calibri" w:hAnsi="Segoe UI" w:cs="Segoe UI"/>
                <w:sz w:val="20"/>
                <w:szCs w:val="20"/>
              </w:rPr>
            </w:pPr>
            <w:r w:rsidRPr="008C557F">
              <w:rPr>
                <w:rFonts w:ascii="Segoe UI" w:eastAsia="Calibri" w:hAnsi="Segoe UI" w:cs="Segoe UI"/>
                <w:noProof/>
                <w:sz w:val="20"/>
                <w:szCs w:val="20"/>
              </w:rPr>
              <w:drawing>
                <wp:inline distT="0" distB="0" distL="0" distR="0" wp14:anchorId="5F93EF64" wp14:editId="4953C14B">
                  <wp:extent cx="1544575" cy="341720"/>
                  <wp:effectExtent l="0" t="0" r="0" b="0"/>
                  <wp:docPr id="3" name="image3.png" descr="F:\MnP\LOGHI MnP e FONT\MartinengoLogo-removebg-preview.png"/>
                  <wp:cNvGraphicFramePr/>
                  <a:graphic xmlns:a="http://schemas.openxmlformats.org/drawingml/2006/main">
                    <a:graphicData uri="http://schemas.openxmlformats.org/drawingml/2006/picture">
                      <pic:pic xmlns:pic="http://schemas.openxmlformats.org/drawingml/2006/picture">
                        <pic:nvPicPr>
                          <pic:cNvPr id="0" name="image3.png" descr="F:\MnP\LOGHI MnP e FONT\MartinengoLogo-removebg-preview.png"/>
                          <pic:cNvPicPr preferRelativeResize="0"/>
                        </pic:nvPicPr>
                        <pic:blipFill>
                          <a:blip r:embed="rId11"/>
                          <a:srcRect/>
                          <a:stretch>
                            <a:fillRect/>
                          </a:stretch>
                        </pic:blipFill>
                        <pic:spPr>
                          <a:xfrm>
                            <a:off x="0" y="0"/>
                            <a:ext cx="1544575" cy="341720"/>
                          </a:xfrm>
                          <a:prstGeom prst="rect">
                            <a:avLst/>
                          </a:prstGeom>
                          <a:ln/>
                        </pic:spPr>
                      </pic:pic>
                    </a:graphicData>
                  </a:graphic>
                </wp:inline>
              </w:drawing>
            </w:r>
            <w:r w:rsidRPr="008C557F">
              <w:rPr>
                <w:rFonts w:ascii="Segoe UI" w:eastAsia="Calibri" w:hAnsi="Segoe UI" w:cs="Segoe UI"/>
                <w:sz w:val="20"/>
                <w:szCs w:val="20"/>
              </w:rPr>
              <w:t xml:space="preserve">  </w:t>
            </w:r>
          </w:p>
          <w:p w14:paraId="1A91A364" w14:textId="77777777" w:rsidR="002F3EBC" w:rsidRPr="008C557F" w:rsidRDefault="00000000" w:rsidP="008C557F">
            <w:pPr>
              <w:spacing w:after="0" w:line="276" w:lineRule="auto"/>
              <w:jc w:val="both"/>
              <w:rPr>
                <w:rFonts w:ascii="Segoe UI" w:eastAsia="Calibri" w:hAnsi="Segoe UI" w:cs="Segoe UI"/>
                <w:b/>
                <w:bCs/>
                <w:sz w:val="20"/>
                <w:szCs w:val="20"/>
              </w:rPr>
            </w:pPr>
            <w:r w:rsidRPr="008C557F">
              <w:rPr>
                <w:rFonts w:ascii="Segoe UI" w:eastAsia="Calibri" w:hAnsi="Segoe UI" w:cs="Segoe UI"/>
                <w:b/>
                <w:bCs/>
                <w:sz w:val="20"/>
                <w:szCs w:val="20"/>
              </w:rPr>
              <w:t>Martinengo Communication</w:t>
            </w:r>
          </w:p>
          <w:p w14:paraId="6035FEC7" w14:textId="77777777" w:rsidR="002F3EBC" w:rsidRPr="008C557F" w:rsidRDefault="00000000" w:rsidP="008C557F">
            <w:pPr>
              <w:spacing w:after="0" w:line="276" w:lineRule="auto"/>
              <w:jc w:val="both"/>
              <w:rPr>
                <w:rFonts w:ascii="Segoe UI" w:eastAsia="Calibri" w:hAnsi="Segoe UI" w:cs="Segoe UI"/>
                <w:b/>
                <w:bCs/>
                <w:sz w:val="20"/>
                <w:szCs w:val="20"/>
              </w:rPr>
            </w:pPr>
            <w:r w:rsidRPr="008C557F">
              <w:rPr>
                <w:rFonts w:ascii="Segoe UI" w:eastAsia="Calibri" w:hAnsi="Segoe UI" w:cs="Segoe UI"/>
                <w:b/>
                <w:bCs/>
                <w:sz w:val="20"/>
                <w:szCs w:val="20"/>
              </w:rPr>
              <w:t>Ufficio Comunicazione di PROMPERÚ in Italia</w:t>
            </w:r>
          </w:p>
          <w:p w14:paraId="127C1520" w14:textId="77777777" w:rsidR="002F3EBC" w:rsidRPr="008C557F" w:rsidRDefault="00000000" w:rsidP="008C557F">
            <w:pPr>
              <w:spacing w:after="0" w:line="276" w:lineRule="auto"/>
              <w:jc w:val="both"/>
              <w:rPr>
                <w:rFonts w:ascii="Segoe UI" w:eastAsia="Calibri" w:hAnsi="Segoe UI" w:cs="Segoe UI"/>
                <w:sz w:val="20"/>
                <w:szCs w:val="20"/>
              </w:rPr>
            </w:pPr>
            <w:r w:rsidRPr="008C557F">
              <w:rPr>
                <w:rFonts w:ascii="Segoe UI" w:eastAsia="Calibri" w:hAnsi="Segoe UI" w:cs="Segoe UI"/>
                <w:sz w:val="20"/>
                <w:szCs w:val="20"/>
              </w:rPr>
              <w:t>Via Vincenzo Monti, 9 – 20123 Milano</w:t>
            </w:r>
          </w:p>
          <w:p w14:paraId="3D4337A1" w14:textId="77777777" w:rsidR="002F3EBC" w:rsidRPr="008C557F" w:rsidRDefault="00000000" w:rsidP="008C557F">
            <w:pPr>
              <w:spacing w:after="0" w:line="276" w:lineRule="auto"/>
              <w:jc w:val="both"/>
              <w:rPr>
                <w:rFonts w:ascii="Segoe UI" w:eastAsia="Calibri" w:hAnsi="Segoe UI" w:cs="Segoe UI"/>
                <w:sz w:val="20"/>
                <w:szCs w:val="20"/>
              </w:rPr>
            </w:pPr>
            <w:r w:rsidRPr="008C557F">
              <w:rPr>
                <w:rFonts w:ascii="Segoe UI" w:eastAsia="Calibri" w:hAnsi="Segoe UI" w:cs="Segoe UI"/>
                <w:sz w:val="20"/>
                <w:szCs w:val="20"/>
              </w:rPr>
              <w:t>Tel.  (+39) 02 4953 6650</w:t>
            </w:r>
          </w:p>
          <w:p w14:paraId="56B9EE82" w14:textId="77777777" w:rsidR="002F3EBC" w:rsidRPr="008C557F" w:rsidRDefault="00000000" w:rsidP="008C557F">
            <w:pPr>
              <w:spacing w:after="0" w:line="276" w:lineRule="auto"/>
              <w:jc w:val="both"/>
              <w:rPr>
                <w:rFonts w:ascii="Segoe UI" w:eastAsia="Calibri" w:hAnsi="Segoe UI" w:cs="Segoe UI"/>
                <w:sz w:val="20"/>
                <w:szCs w:val="20"/>
              </w:rPr>
            </w:pPr>
            <w:r w:rsidRPr="008C557F">
              <w:rPr>
                <w:rFonts w:ascii="Segoe UI" w:eastAsia="Calibri" w:hAnsi="Segoe UI" w:cs="Segoe UI"/>
                <w:sz w:val="20"/>
                <w:szCs w:val="20"/>
              </w:rPr>
              <w:t xml:space="preserve">E-mail: </w:t>
            </w:r>
            <w:hyperlink r:id="rId12">
              <w:r w:rsidRPr="008C557F">
                <w:rPr>
                  <w:rFonts w:ascii="Segoe UI" w:eastAsia="Calibri" w:hAnsi="Segoe UI" w:cs="Segoe UI"/>
                  <w:color w:val="467886"/>
                  <w:sz w:val="20"/>
                  <w:szCs w:val="20"/>
                  <w:u w:val="single"/>
                </w:rPr>
                <w:t>martinengo@martinengocommunication.com</w:t>
              </w:r>
            </w:hyperlink>
          </w:p>
          <w:p w14:paraId="35FFD4F5" w14:textId="77777777" w:rsidR="002F3EBC" w:rsidRPr="008C557F" w:rsidRDefault="00000000" w:rsidP="008C557F">
            <w:pPr>
              <w:spacing w:after="0" w:line="276" w:lineRule="auto"/>
              <w:jc w:val="both"/>
              <w:rPr>
                <w:rFonts w:ascii="Segoe UI" w:hAnsi="Segoe UI" w:cs="Segoe UI"/>
                <w:sz w:val="20"/>
                <w:szCs w:val="20"/>
              </w:rPr>
            </w:pPr>
            <w:r w:rsidRPr="008C557F">
              <w:rPr>
                <w:rFonts w:ascii="Segoe UI" w:eastAsia="Calibri" w:hAnsi="Segoe UI" w:cs="Segoe UI"/>
                <w:sz w:val="20"/>
                <w:szCs w:val="20"/>
              </w:rPr>
              <w:t xml:space="preserve">Web: </w:t>
            </w:r>
            <w:hyperlink r:id="rId13">
              <w:r w:rsidRPr="008C557F">
                <w:rPr>
                  <w:rFonts w:ascii="Segoe UI" w:eastAsia="Calibri" w:hAnsi="Segoe UI" w:cs="Segoe UI"/>
                  <w:color w:val="467886"/>
                  <w:sz w:val="20"/>
                  <w:szCs w:val="20"/>
                  <w:u w:val="single"/>
                </w:rPr>
                <w:t>www.martinengocommunication.com</w:t>
              </w:r>
            </w:hyperlink>
          </w:p>
        </w:tc>
      </w:tr>
    </w:tbl>
    <w:p w14:paraId="479423CA" w14:textId="77777777" w:rsidR="002F3EBC" w:rsidRPr="008C557F" w:rsidRDefault="002F3EBC" w:rsidP="008C557F">
      <w:pPr>
        <w:spacing w:line="276" w:lineRule="auto"/>
        <w:jc w:val="both"/>
        <w:rPr>
          <w:rFonts w:ascii="Segoe UI" w:eastAsia="Calibri" w:hAnsi="Segoe UI" w:cs="Segoe UI"/>
          <w:u w:val="single"/>
        </w:rPr>
      </w:pPr>
    </w:p>
    <w:sectPr w:rsidR="002F3EBC" w:rsidRPr="008C557F">
      <w:headerReference w:type="default" r:id="rId14"/>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642462" w14:textId="77777777" w:rsidR="006706DE" w:rsidRDefault="006706DE">
      <w:pPr>
        <w:spacing w:after="0" w:line="240" w:lineRule="auto"/>
      </w:pPr>
      <w:r>
        <w:separator/>
      </w:r>
    </w:p>
  </w:endnote>
  <w:endnote w:type="continuationSeparator" w:id="0">
    <w:p w14:paraId="15C7BA6A" w14:textId="77777777" w:rsidR="006706DE" w:rsidRDefault="00670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C106D186-2236-4F33-B27B-AAFAA8678E0F}"/>
    <w:embedBold r:id="rId2" w:fontKey="{355202EC-F4C7-4C42-AC0A-496091B8DDE4}"/>
    <w:embedItalic r:id="rId3" w:fontKey="{B6DB345B-B898-472A-ABC1-81434E11DA5C}"/>
  </w:font>
  <w:font w:name="Play">
    <w:charset w:val="00"/>
    <w:family w:val="auto"/>
    <w:pitch w:val="default"/>
    <w:embedRegular r:id="rId4" w:fontKey="{62120E23-E561-46DD-B1F8-27C21F9DA0F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FBE4736E-D301-4CA9-9E0F-3432A40EB899}"/>
  </w:font>
  <w:font w:name="Segoe UI">
    <w:panose1 w:val="020B0502040204020203"/>
    <w:charset w:val="00"/>
    <w:family w:val="swiss"/>
    <w:pitch w:val="variable"/>
    <w:sig w:usb0="E4002EFF" w:usb1="C000E47F" w:usb2="00000009" w:usb3="00000000" w:csb0="000001FF" w:csb1="00000000"/>
    <w:embedRegular r:id="rId6" w:fontKey="{BC630818-F452-446C-966D-CDC7B65D4B90}"/>
    <w:embedBold r:id="rId7" w:fontKey="{F30766EB-5E4C-4595-AEF3-C07C2DE782AB}"/>
  </w:font>
  <w:font w:name="Calibri">
    <w:panose1 w:val="020F0502020204030204"/>
    <w:charset w:val="00"/>
    <w:family w:val="swiss"/>
    <w:pitch w:val="variable"/>
    <w:sig w:usb0="E4002EFF" w:usb1="C200247B" w:usb2="00000009" w:usb3="00000000" w:csb0="000001FF" w:csb1="00000000"/>
    <w:embedRegular r:id="rId8" w:fontKey="{92D659AF-A2F1-41A3-916B-5F3174D40E86}"/>
    <w:embedBold r:id="rId9" w:fontKey="{354D6217-ABA2-46E3-9842-F46F9495EDB7}"/>
  </w:font>
  <w:font w:name="Cambria">
    <w:panose1 w:val="02040503050406030204"/>
    <w:charset w:val="00"/>
    <w:family w:val="roman"/>
    <w:pitch w:val="variable"/>
    <w:sig w:usb0="E00006FF" w:usb1="420024FF" w:usb2="02000000" w:usb3="00000000" w:csb0="0000019F" w:csb1="00000000"/>
    <w:embedRegular r:id="rId10" w:fontKey="{65054E24-F934-44EF-89BC-0A5C829792F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C8D908" w14:textId="77777777" w:rsidR="006706DE" w:rsidRDefault="006706DE">
      <w:pPr>
        <w:spacing w:after="0" w:line="240" w:lineRule="auto"/>
      </w:pPr>
      <w:r>
        <w:separator/>
      </w:r>
    </w:p>
  </w:footnote>
  <w:footnote w:type="continuationSeparator" w:id="0">
    <w:p w14:paraId="37BCE789" w14:textId="77777777" w:rsidR="006706DE" w:rsidRDefault="006706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EF2C2" w14:textId="77777777" w:rsidR="002F3EBC" w:rsidRDefault="00000000">
    <w:pPr>
      <w:pBdr>
        <w:top w:val="nil"/>
        <w:left w:val="nil"/>
        <w:bottom w:val="nil"/>
        <w:right w:val="nil"/>
        <w:between w:val="nil"/>
      </w:pBdr>
      <w:tabs>
        <w:tab w:val="center" w:pos="4819"/>
        <w:tab w:val="right" w:pos="9638"/>
      </w:tabs>
      <w:spacing w:after="0" w:line="240" w:lineRule="auto"/>
      <w:jc w:val="right"/>
      <w:rPr>
        <w:rFonts w:ascii="Calibri" w:eastAsia="Calibri" w:hAnsi="Calibri" w:cs="Calibri"/>
        <w:sz w:val="16"/>
        <w:szCs w:val="16"/>
      </w:rPr>
    </w:pPr>
    <w:r>
      <w:rPr>
        <w:rFonts w:ascii="Calibri" w:eastAsia="Calibri" w:hAnsi="Calibri" w:cs="Calibri"/>
        <w:noProof/>
        <w:sz w:val="16"/>
        <w:szCs w:val="16"/>
      </w:rPr>
      <w:drawing>
        <wp:inline distT="114300" distB="114300" distL="114300" distR="114300" wp14:anchorId="2F0913A9" wp14:editId="0A4404F4">
          <wp:extent cx="1215398" cy="50894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15398" cy="508948"/>
                  </a:xfrm>
                  <a:prstGeom prst="rect">
                    <a:avLst/>
                  </a:prstGeom>
                  <a:ln/>
                </pic:spPr>
              </pic:pic>
            </a:graphicData>
          </a:graphic>
        </wp:inline>
      </w:drawing>
    </w:r>
  </w:p>
  <w:p w14:paraId="3A43E993" w14:textId="77777777" w:rsidR="002F3EBC" w:rsidRDefault="002F3EBC">
    <w:pPr>
      <w:pBdr>
        <w:top w:val="nil"/>
        <w:left w:val="nil"/>
        <w:bottom w:val="nil"/>
        <w:right w:val="nil"/>
        <w:between w:val="nil"/>
      </w:pBdr>
      <w:tabs>
        <w:tab w:val="center" w:pos="4819"/>
        <w:tab w:val="right" w:pos="9638"/>
      </w:tabs>
      <w:spacing w:after="0" w:line="240" w:lineRule="auto"/>
      <w:jc w:val="right"/>
      <w:rPr>
        <w:rFonts w:ascii="Calibri" w:eastAsia="Calibri" w:hAnsi="Calibri" w:cs="Calibri"/>
        <w:sz w:val="16"/>
        <w:szCs w:val="16"/>
      </w:rPr>
    </w:pPr>
  </w:p>
  <w:p w14:paraId="5A6471DC" w14:textId="77777777" w:rsidR="002F3EBC" w:rsidRDefault="002F3EBC">
    <w:pPr>
      <w:pBdr>
        <w:top w:val="nil"/>
        <w:left w:val="nil"/>
        <w:bottom w:val="nil"/>
        <w:right w:val="nil"/>
        <w:between w:val="nil"/>
      </w:pBdr>
      <w:tabs>
        <w:tab w:val="center" w:pos="4819"/>
        <w:tab w:val="right" w:pos="9638"/>
      </w:tabs>
      <w:spacing w:after="0" w:line="240" w:lineRule="auto"/>
      <w:jc w:val="right"/>
      <w:rPr>
        <w:rFonts w:ascii="Calibri" w:eastAsia="Calibri" w:hAnsi="Calibri" w:cs="Calibri"/>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EBC"/>
    <w:rsid w:val="002F3EBC"/>
    <w:rsid w:val="006706DE"/>
    <w:rsid w:val="00680274"/>
    <w:rsid w:val="008C557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05A4B"/>
  <w15:docId w15:val="{5A63E86E-2E91-4EB3-A884-655595DC0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rFonts w:ascii="Play" w:eastAsia="Play" w:hAnsi="Play" w:cs="Play"/>
      <w:color w:val="0F4761"/>
      <w:sz w:val="40"/>
      <w:szCs w:val="40"/>
    </w:rPr>
  </w:style>
  <w:style w:type="paragraph" w:styleId="Titolo2">
    <w:name w:val="heading 2"/>
    <w:basedOn w:val="Normale"/>
    <w:next w:val="Normale"/>
    <w:uiPriority w:val="9"/>
    <w:semiHidden/>
    <w:unhideWhenUsed/>
    <w:qFormat/>
    <w:pPr>
      <w:keepNext/>
      <w:keepLines/>
      <w:spacing w:before="160" w:after="80"/>
      <w:outlineLvl w:val="1"/>
    </w:pPr>
    <w:rPr>
      <w:rFonts w:ascii="Play" w:eastAsia="Play" w:hAnsi="Play" w:cs="Play"/>
      <w:color w:val="0F4761"/>
      <w:sz w:val="32"/>
      <w:szCs w:val="32"/>
    </w:rPr>
  </w:style>
  <w:style w:type="paragraph" w:styleId="Titolo3">
    <w:name w:val="heading 3"/>
    <w:basedOn w:val="Normale"/>
    <w:next w:val="Normale"/>
    <w:uiPriority w:val="9"/>
    <w:semiHidden/>
    <w:unhideWhenUsed/>
    <w:qFormat/>
    <w:pPr>
      <w:keepNext/>
      <w:keepLines/>
      <w:spacing w:before="160" w:after="80"/>
      <w:outlineLvl w:val="2"/>
    </w:pPr>
    <w:rPr>
      <w:color w:val="0F4761"/>
      <w:sz w:val="28"/>
      <w:szCs w:val="28"/>
    </w:rPr>
  </w:style>
  <w:style w:type="paragraph" w:styleId="Titolo4">
    <w:name w:val="heading 4"/>
    <w:basedOn w:val="Normale"/>
    <w:next w:val="Normale"/>
    <w:uiPriority w:val="9"/>
    <w:semiHidden/>
    <w:unhideWhenUsed/>
    <w:qFormat/>
    <w:pPr>
      <w:keepNext/>
      <w:keepLines/>
      <w:spacing w:before="80" w:after="40"/>
      <w:outlineLvl w:val="3"/>
    </w:pPr>
    <w:rPr>
      <w:i/>
      <w:iCs/>
      <w:color w:val="0F4761"/>
    </w:rPr>
  </w:style>
  <w:style w:type="paragraph" w:styleId="Titolo5">
    <w:name w:val="heading 5"/>
    <w:basedOn w:val="Normale"/>
    <w:next w:val="Normale"/>
    <w:uiPriority w:val="9"/>
    <w:semiHidden/>
    <w:unhideWhenUsed/>
    <w:qFormat/>
    <w:pPr>
      <w:keepNext/>
      <w:keepLines/>
      <w:spacing w:before="80" w:after="40"/>
      <w:outlineLvl w:val="4"/>
    </w:pPr>
    <w:rPr>
      <w:color w:val="0F4761"/>
    </w:rPr>
  </w:style>
  <w:style w:type="paragraph" w:styleId="Titolo6">
    <w:name w:val="heading 6"/>
    <w:basedOn w:val="Normale"/>
    <w:next w:val="Normale"/>
    <w:uiPriority w:val="9"/>
    <w:semiHidden/>
    <w:unhideWhenUsed/>
    <w:qFormat/>
    <w:pPr>
      <w:keepNext/>
      <w:keepLines/>
      <w:spacing w:before="40" w:after="0"/>
      <w:outlineLvl w:val="5"/>
    </w:pPr>
    <w:rPr>
      <w:i/>
      <w:iCs/>
      <w:color w:val="595959"/>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peru.travel/es" TargetMode="External"/><Relationship Id="rId13" Type="http://schemas.openxmlformats.org/officeDocument/2006/relationships/hyperlink" Target="http://www.martinengocommunication.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martinengo@martinengocommunication.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peru.travel/it" TargetMode="External"/><Relationship Id="rId4" Type="http://schemas.openxmlformats.org/officeDocument/2006/relationships/webSettings" Target="webSettings.xml"/><Relationship Id="rId9" Type="http://schemas.openxmlformats.org/officeDocument/2006/relationships/hyperlink" Target="https://www.peru.travel/es"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pKp3mGHew/7xB+KpnwLbUZnddA==">CgMxLjA4AHIhMWVIc083NDRiWHBEbGdoSEpqT3ZvWE9sSF9zWGc2Nml1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885</Words>
  <Characters>5051</Characters>
  <Application>Microsoft Office Word</Application>
  <DocSecurity>0</DocSecurity>
  <Lines>42</Lines>
  <Paragraphs>11</Paragraphs>
  <ScaleCrop>false</ScaleCrop>
  <Company/>
  <LinksUpToDate>false</LinksUpToDate>
  <CharactersWithSpaces>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Cristina Lanciano (Martinengo Communication)</cp:lastModifiedBy>
  <cp:revision>2</cp:revision>
  <dcterms:created xsi:type="dcterms:W3CDTF">2026-06-15T08:34:00Z</dcterms:created>
  <dcterms:modified xsi:type="dcterms:W3CDTF">2026-06-15T08:38:00Z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0x010100E0966159DABF7342AD84A934EA892BEE</vt:lpwstr>
  </property>
  <property fmtid="{D5CDD505-2E9C-101B-9397-08002B2CF9AE}" pid="3" name="MediaServiceImageTags">
    <vt:lpwstr>MediaServiceImageTags</vt:lpwstr>
  </property>
</Properties>
</file>