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42.85714285714283" w:lineRule="auto"/>
        <w:jc w:val="center"/>
        <w:rPr>
          <w:b w:val="1"/>
          <w:bCs w:val="1"/>
          <w:sz w:val="36"/>
          <w:szCs w:val="36"/>
        </w:rPr>
      </w:pPr>
      <w:r w:rsidDel="00000000" w:rsidR="00000000" w:rsidRPr="00000000">
        <w:rPr>
          <w:b w:val="1"/>
          <w:bCs w:val="1"/>
          <w:sz w:val="36"/>
          <w:szCs w:val="36"/>
          <w:rtl w:val="0"/>
        </w:rPr>
        <w:t xml:space="preserve">La più grande celebrazione culinaria al mondo arriva in Perù</w:t>
      </w:r>
    </w:p>
    <w:p w:rsidR="00000000" w:rsidDel="00000000" w:rsidP="00000000" w:rsidRDefault="00000000" w:rsidRPr="00000000" w14:paraId="00000002">
      <w:pPr>
        <w:spacing w:line="276" w:lineRule="auto"/>
        <w:ind w:left="720" w:firstLine="0"/>
        <w:jc w:val="both"/>
        <w:rPr>
          <w:b w:val="1"/>
          <w:bCs w:val="1"/>
        </w:rPr>
      </w:pPr>
      <w:r w:rsidDel="00000000" w:rsidR="00000000" w:rsidRPr="00000000">
        <w:rPr>
          <w:rtl w:val="0"/>
        </w:rPr>
      </w:r>
    </w:p>
    <w:p w:rsidR="00000000" w:rsidDel="00000000" w:rsidP="00000000" w:rsidRDefault="00000000" w:rsidRPr="00000000" w14:paraId="00000003">
      <w:pPr>
        <w:numPr>
          <w:ilvl w:val="0"/>
          <w:numId w:val="1"/>
        </w:numPr>
        <w:spacing w:line="276" w:lineRule="auto"/>
        <w:ind w:left="720" w:hanging="360"/>
        <w:jc w:val="both"/>
        <w:rPr>
          <w:b w:val="1"/>
          <w:bCs w:val="1"/>
        </w:rPr>
      </w:pPr>
      <w:r w:rsidDel="00000000" w:rsidR="00000000" w:rsidRPr="00000000">
        <w:rPr>
          <w:b w:val="1"/>
          <w:bCs w:val="1"/>
          <w:rtl w:val="0"/>
        </w:rPr>
        <w:t xml:space="preserve">Lima ospiterà per la prima volta The World’s 50 Best Restaurants il 4 novembre, segnando la prima edizione dell’evento in Sud America.</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Il Perù scriverà una nuova pagina della storia gastronomica nel novembre 2026, quando Lima ospiterà per la prima volta The World’s 50 Best Restaurants. Sarà inoltre la prima volta che la prestigiosa cerimonia di premiazione si terrà in Sud America, riunendo la community internazionale della ristorazione in una delle capitali gastronomiche più dinamiche al mondo.</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L’annuncio arriva in un momento particolarmente significativo per la gastronomia peruviana. Nel 2025, </w:t>
      </w:r>
      <w:r w:rsidDel="00000000" w:rsidR="00000000" w:rsidRPr="00000000">
        <w:rPr>
          <w:b w:val="1"/>
          <w:bCs w:val="1"/>
          <w:rtl w:val="0"/>
        </w:rPr>
        <w:t xml:space="preserve">Maido</w:t>
      </w:r>
      <w:r w:rsidDel="00000000" w:rsidR="00000000" w:rsidRPr="00000000">
        <w:rPr>
          <w:rtl w:val="0"/>
        </w:rPr>
        <w:t xml:space="preserve"> è stato nominato </w:t>
      </w:r>
      <w:r w:rsidDel="00000000" w:rsidR="00000000" w:rsidRPr="00000000">
        <w:rPr>
          <w:b w:val="1"/>
          <w:bCs w:val="1"/>
          <w:rtl w:val="0"/>
        </w:rPr>
        <w:t xml:space="preserve">The World’s Best Restaurant</w:t>
      </w:r>
      <w:r w:rsidDel="00000000" w:rsidR="00000000" w:rsidRPr="00000000">
        <w:rPr>
          <w:rtl w:val="0"/>
        </w:rPr>
        <w:t xml:space="preserve">, diventando il secondo ristorante peruviano a conquistare il primo posto dopo Central, che aveva ricevuto lo stesso riconoscimento nel 2023.</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The World’s 50 Best Restaurants 2026 proporrà un programma di eventi della durata di una settimana, tra cui #50BestTalks, le cene collaborative 50 Best Signature Sessions, il celebre Chefs’ Feast e la cerimonia di premiazione. Gli ospiti internazionali avranno inoltre l’opportunità di scoprire le diverse regioni gastronomiche del Perù attraverso esperienze culinarie appositamente curate.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Per i viaggiatori, l’evento rappresenta un ulteriore motivo per visitare il Perù. Oltre ai suoi ristoranti pluripremiati, il Paese offre una straordinaria varietà di esperienze gastronomiche: tour guidati nei mercati, corsi di cucina, visite alle tradizionali picanterías, food tour immersivi e cucine regionali che celebrano i sapori della Costa, delle Ande e dell’Amazzonia.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L’appeal gastronomico del Perù continua a crescere</w:t>
      </w:r>
    </w:p>
    <w:p w:rsidR="00000000" w:rsidDel="00000000" w:rsidP="00000000" w:rsidRDefault="00000000" w:rsidRPr="00000000" w14:paraId="0000000E">
      <w:pPr>
        <w:jc w:val="both"/>
        <w:rPr/>
      </w:pPr>
      <w:r w:rsidDel="00000000" w:rsidR="00000000" w:rsidRPr="00000000">
        <w:rPr>
          <w:rtl w:val="0"/>
        </w:rPr>
        <w:t xml:space="preserve">Il cibo è diventato una delle principali motivazioni che spingono i visitatori internazionali a scegliere il Perù. Secondo PROMPERÚ, la gastronomia rientra tra le ragioni più importanti per cui i viaggiatori leisure scelgono il Paese, in particolare tra i Millennials e la Generation X.</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I visitatori descrivono costantemente la cucina peruviana come autentica, varia e innovativa, apprezzandone gli ingredienti nativi unici, l’eccezionale biodiversità e la creatività con cui gli chef di tutto il Paese reinterpretano i sapori tradizionali.</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spacing w:after="160" w:lineRule="auto"/>
        <w:rPr>
          <w:b w:val="1"/>
          <w:bCs w:val="1"/>
          <w:sz w:val="24"/>
          <w:szCs w:val="24"/>
        </w:rPr>
      </w:pPr>
      <w:r w:rsidDel="00000000" w:rsidR="00000000" w:rsidRPr="00000000">
        <w:rPr>
          <w:b w:val="1"/>
          <w:bCs w:val="1"/>
          <w:sz w:val="24"/>
          <w:szCs w:val="24"/>
          <w:rtl w:val="0"/>
        </w:rPr>
        <w:t xml:space="preserve">Su PROMPERÚ</w:t>
      </w:r>
    </w:p>
    <w:p w:rsidR="00000000" w:rsidDel="00000000" w:rsidP="00000000" w:rsidRDefault="00000000" w:rsidRPr="00000000" w14:paraId="00000013">
      <w:pPr>
        <w:spacing w:after="240" w:before="240" w:lineRule="auto"/>
        <w:rPr>
          <w:sz w:val="24"/>
          <w:szCs w:val="24"/>
        </w:rPr>
      </w:pPr>
      <w:r w:rsidDel="00000000" w:rsidR="00000000" w:rsidRPr="00000000">
        <w:rPr>
          <w:b w:val="1"/>
          <w:bCs w:val="1"/>
          <w:sz w:val="20"/>
          <w:szCs w:val="20"/>
          <w:rtl w:val="0"/>
        </w:rPr>
        <w:t xml:space="preserve">La Commissione per la Promozione del Perù per l’Esportazione e il Turismo (PROMPERÚ)</w:t>
      </w:r>
      <w:r w:rsidDel="00000000" w:rsidR="00000000" w:rsidRPr="00000000">
        <w:rPr>
          <w:sz w:val="20"/>
          <w:szCs w:val="20"/>
          <w:rtl w:val="0"/>
        </w:rPr>
        <w:t xml:space="preserve"> è un ente dipendente dal Ministero del Commercio Estero e del Turismo del Perù, incaricato di formulare, approvare, attuare e valutare le strategie e i piani di promozione dell’immagine del Perù nei settori del turismo, delle esportazioni e degli investimenti esteri diretti nel paese.</w:t>
      </w:r>
      <w:r w:rsidDel="00000000" w:rsidR="00000000" w:rsidRPr="00000000">
        <w:rPr>
          <w:rtl w:val="0"/>
        </w:rPr>
      </w:r>
    </w:p>
    <w:p w:rsidR="00000000" w:rsidDel="00000000" w:rsidP="00000000" w:rsidRDefault="00000000" w:rsidRPr="00000000" w14:paraId="00000014">
      <w:pPr>
        <w:spacing w:after="240" w:before="240" w:lineRule="auto"/>
        <w:rPr>
          <w:color w:val="467886"/>
          <w:sz w:val="20"/>
          <w:szCs w:val="20"/>
          <w:u w:val="single"/>
        </w:rPr>
      </w:pPr>
      <w:r w:rsidDel="00000000" w:rsidR="00000000" w:rsidRPr="00000000">
        <w:rPr>
          <w:sz w:val="20"/>
          <w:szCs w:val="20"/>
          <w:rtl w:val="0"/>
        </w:rPr>
        <w:t xml:space="preserve">Per scoprire di più sul Perù e sulle sue meraviglie, visita: </w:t>
      </w:r>
      <w:hyperlink r:id="rId6">
        <w:r w:rsidDel="00000000" w:rsidR="00000000" w:rsidRPr="00000000">
          <w:rPr>
            <w:color w:val="467886"/>
            <w:sz w:val="20"/>
            <w:szCs w:val="20"/>
            <w:u w:val="single"/>
            <w:rtl w:val="0"/>
          </w:rPr>
          <w:t xml:space="preserve">www.peru.travel/it</w:t>
        </w:r>
      </w:hyperlink>
      <w:r w:rsidDel="00000000" w:rsidR="00000000" w:rsidRPr="00000000">
        <w:rPr>
          <w:color w:val="467886"/>
          <w:sz w:val="20"/>
          <w:szCs w:val="20"/>
          <w:u w:val="single"/>
          <w:rtl w:val="0"/>
        </w:rPr>
        <w:t xml:space="preserve"> </w:t>
      </w:r>
    </w:p>
    <w:p w:rsidR="00000000" w:rsidDel="00000000" w:rsidP="00000000" w:rsidRDefault="00000000" w:rsidRPr="00000000" w14:paraId="00000015">
      <w:pPr>
        <w:spacing w:after="160" w:lineRule="auto"/>
        <w:jc w:val="both"/>
        <w:rPr>
          <w:sz w:val="20"/>
          <w:szCs w:val="20"/>
        </w:rPr>
      </w:pPr>
      <w:r w:rsidDel="00000000" w:rsidR="00000000" w:rsidRPr="00000000">
        <w:rPr>
          <w:b w:val="1"/>
          <w:bCs w:val="1"/>
          <w:sz w:val="20"/>
          <w:szCs w:val="20"/>
          <w:rtl w:val="0"/>
        </w:rPr>
        <w:t xml:space="preserve">Per ulteriori informazioni stampa contattare:</w:t>
      </w:r>
      <w:r w:rsidDel="00000000" w:rsidR="00000000" w:rsidRPr="00000000">
        <w:rPr>
          <w:rtl w:val="0"/>
        </w:rPr>
      </w:r>
    </w:p>
    <w:tbl>
      <w:tblPr>
        <w:tblStyle w:val="Table1"/>
        <w:tblW w:w="9900.0" w:type="dxa"/>
        <w:jc w:val="left"/>
        <w:tblLayout w:type="fixed"/>
        <w:tblLook w:val="0400"/>
      </w:tblPr>
      <w:tblGrid>
        <w:gridCol w:w="9900"/>
        <w:tblGridChange w:id="0">
          <w:tblGrid>
            <w:gridCol w:w="9900"/>
          </w:tblGrid>
        </w:tblGridChange>
      </w:tblGrid>
      <w:tr>
        <w:trPr>
          <w:cantSplit w:val="0"/>
          <w:trHeight w:val="24" w:hRule="atLeast"/>
          <w:tblHeader w:val="0"/>
        </w:trPr>
        <w:tc>
          <w:tcPr>
            <w:tcMar>
              <w:top w:w="75.0" w:type="dxa"/>
              <w:left w:w="15.0" w:type="dxa"/>
              <w:bottom w:w="15.0" w:type="dxa"/>
              <w:right w:w="15.0" w:type="dxa"/>
            </w:tcMar>
            <w:vAlign w:val="center"/>
          </w:tcPr>
          <w:p w:rsidR="00000000" w:rsidDel="00000000" w:rsidP="00000000" w:rsidRDefault="00000000" w:rsidRPr="00000000" w14:paraId="00000016">
            <w:pPr>
              <w:jc w:val="both"/>
              <w:rPr>
                <w:sz w:val="18"/>
                <w:szCs w:val="18"/>
              </w:rPr>
            </w:pPr>
            <w:r w:rsidDel="00000000" w:rsidR="00000000" w:rsidRPr="00000000">
              <w:rPr>
                <w:sz w:val="18"/>
                <w:szCs w:val="18"/>
              </w:rPr>
              <w:drawing>
                <wp:inline distB="0" distT="0" distL="0" distR="0">
                  <wp:extent cx="1544575" cy="341720"/>
                  <wp:effectExtent b="0" l="0" r="0" t="0"/>
                  <wp:docPr descr="F:\MnP\LOGHI MnP e FONT\MartinengoLogo-removebg-preview.png" id="1" name="image1.png"/>
                  <a:graphic>
                    <a:graphicData uri="http://schemas.openxmlformats.org/drawingml/2006/picture">
                      <pic:pic>
                        <pic:nvPicPr>
                          <pic:cNvPr descr="F:\MnP\LOGHI MnP e FONT\MartinengoLogo-removebg-preview.png" id="0" name="image1.png"/>
                          <pic:cNvPicPr preferRelativeResize="0"/>
                        </pic:nvPicPr>
                        <pic:blipFill>
                          <a:blip r:embed="rId7"/>
                          <a:srcRect b="0" l="0" r="0" t="0"/>
                          <a:stretch>
                            <a:fillRect/>
                          </a:stretch>
                        </pic:blipFill>
                        <pic:spPr>
                          <a:xfrm>
                            <a:off x="0" y="0"/>
                            <a:ext cx="1544575" cy="341720"/>
                          </a:xfrm>
                          <a:prstGeom prst="rect"/>
                          <a:ln/>
                        </pic:spPr>
                      </pic:pic>
                    </a:graphicData>
                  </a:graphic>
                </wp:inline>
              </w:drawing>
            </w:r>
            <w:r w:rsidDel="00000000" w:rsidR="00000000" w:rsidRPr="00000000">
              <w:rPr>
                <w:sz w:val="18"/>
                <w:szCs w:val="18"/>
                <w:rtl w:val="0"/>
              </w:rPr>
              <w:t xml:space="preserve">  </w:t>
            </w:r>
          </w:p>
          <w:p w:rsidR="00000000" w:rsidDel="00000000" w:rsidP="00000000" w:rsidRDefault="00000000" w:rsidRPr="00000000" w14:paraId="00000017">
            <w:pPr>
              <w:jc w:val="both"/>
              <w:rPr>
                <w:b w:val="1"/>
                <w:bCs w:val="1"/>
                <w:sz w:val="18"/>
                <w:szCs w:val="18"/>
              </w:rPr>
            </w:pPr>
            <w:r w:rsidDel="00000000" w:rsidR="00000000" w:rsidRPr="00000000">
              <w:rPr>
                <w:b w:val="1"/>
                <w:bCs w:val="1"/>
                <w:sz w:val="18"/>
                <w:szCs w:val="18"/>
                <w:rtl w:val="0"/>
              </w:rPr>
              <w:t xml:space="preserve">Martinengo Communication</w:t>
            </w:r>
          </w:p>
          <w:p w:rsidR="00000000" w:rsidDel="00000000" w:rsidP="00000000" w:rsidRDefault="00000000" w:rsidRPr="00000000" w14:paraId="00000018">
            <w:pPr>
              <w:jc w:val="both"/>
              <w:rPr>
                <w:b w:val="1"/>
                <w:bCs w:val="1"/>
                <w:sz w:val="18"/>
                <w:szCs w:val="18"/>
              </w:rPr>
            </w:pPr>
            <w:r w:rsidDel="00000000" w:rsidR="00000000" w:rsidRPr="00000000">
              <w:rPr>
                <w:b w:val="1"/>
                <w:bCs w:val="1"/>
                <w:sz w:val="18"/>
                <w:szCs w:val="18"/>
                <w:rtl w:val="0"/>
              </w:rPr>
              <w:t xml:space="preserve">Ufficio Comunicazione di PROMPERÚ in Italia</w:t>
            </w:r>
          </w:p>
          <w:p w:rsidR="00000000" w:rsidDel="00000000" w:rsidP="00000000" w:rsidRDefault="00000000" w:rsidRPr="00000000" w14:paraId="00000019">
            <w:pPr>
              <w:jc w:val="both"/>
              <w:rPr>
                <w:sz w:val="18"/>
                <w:szCs w:val="18"/>
              </w:rPr>
            </w:pPr>
            <w:r w:rsidDel="00000000" w:rsidR="00000000" w:rsidRPr="00000000">
              <w:rPr>
                <w:sz w:val="18"/>
                <w:szCs w:val="18"/>
                <w:rtl w:val="0"/>
              </w:rPr>
              <w:t xml:space="preserve">Via Vincenzo Monti, 9 – 20123 Milano</w:t>
            </w:r>
          </w:p>
          <w:p w:rsidR="00000000" w:rsidDel="00000000" w:rsidP="00000000" w:rsidRDefault="00000000" w:rsidRPr="00000000" w14:paraId="0000001A">
            <w:pPr>
              <w:jc w:val="both"/>
              <w:rPr>
                <w:sz w:val="18"/>
                <w:szCs w:val="18"/>
              </w:rPr>
            </w:pPr>
            <w:r w:rsidDel="00000000" w:rsidR="00000000" w:rsidRPr="00000000">
              <w:rPr>
                <w:sz w:val="18"/>
                <w:szCs w:val="18"/>
                <w:rtl w:val="0"/>
              </w:rPr>
              <w:t xml:space="preserve">Tel.  (+39) 02 4953 6650</w:t>
            </w:r>
          </w:p>
          <w:p w:rsidR="00000000" w:rsidDel="00000000" w:rsidP="00000000" w:rsidRDefault="00000000" w:rsidRPr="00000000" w14:paraId="0000001B">
            <w:pPr>
              <w:jc w:val="both"/>
              <w:rPr>
                <w:sz w:val="18"/>
                <w:szCs w:val="18"/>
              </w:rPr>
            </w:pPr>
            <w:r w:rsidDel="00000000" w:rsidR="00000000" w:rsidRPr="00000000">
              <w:rPr>
                <w:sz w:val="18"/>
                <w:szCs w:val="18"/>
                <w:rtl w:val="0"/>
              </w:rPr>
              <w:t xml:space="preserve">E-mail: </w:t>
            </w:r>
            <w:hyperlink r:id="rId8">
              <w:r w:rsidDel="00000000" w:rsidR="00000000" w:rsidRPr="00000000">
                <w:rPr>
                  <w:color w:val="467886"/>
                  <w:sz w:val="18"/>
                  <w:szCs w:val="18"/>
                  <w:u w:val="single"/>
                  <w:rtl w:val="0"/>
                </w:rPr>
                <w:t xml:space="preserve">martinengo@martinengocommunication.com</w:t>
              </w:r>
            </w:hyperlink>
            <w:r w:rsidDel="00000000" w:rsidR="00000000" w:rsidRPr="00000000">
              <w:rPr>
                <w:rtl w:val="0"/>
              </w:rPr>
            </w:r>
          </w:p>
          <w:p w:rsidR="00000000" w:rsidDel="00000000" w:rsidP="00000000" w:rsidRDefault="00000000" w:rsidRPr="00000000" w14:paraId="0000001C">
            <w:pPr>
              <w:jc w:val="both"/>
              <w:rPr>
                <w:sz w:val="18"/>
                <w:szCs w:val="18"/>
              </w:rPr>
            </w:pPr>
            <w:r w:rsidDel="00000000" w:rsidR="00000000" w:rsidRPr="00000000">
              <w:rPr>
                <w:sz w:val="18"/>
                <w:szCs w:val="18"/>
                <w:rtl w:val="0"/>
              </w:rPr>
              <w:t xml:space="preserve">Web: </w:t>
            </w:r>
            <w:hyperlink r:id="rId9">
              <w:r w:rsidDel="00000000" w:rsidR="00000000" w:rsidRPr="00000000">
                <w:rPr>
                  <w:color w:val="467886"/>
                  <w:sz w:val="18"/>
                  <w:szCs w:val="18"/>
                  <w:u w:val="single"/>
                  <w:rtl w:val="0"/>
                </w:rPr>
                <w:t xml:space="preserve">www.martinengocommunication.com</w:t>
              </w:r>
            </w:hyperlink>
            <w:r w:rsidDel="00000000" w:rsidR="00000000" w:rsidRPr="00000000">
              <w:rPr>
                <w:rtl w:val="0"/>
              </w:rPr>
            </w:r>
          </w:p>
        </w:tc>
      </w:tr>
    </w:tbl>
    <w:p w:rsidR="00000000" w:rsidDel="00000000" w:rsidP="00000000" w:rsidRDefault="00000000" w:rsidRPr="00000000" w14:paraId="0000001D">
      <w:pPr>
        <w:spacing w:after="160" w:lineRule="auto"/>
        <w:rPr>
          <w:sz w:val="20"/>
          <w:szCs w:val="20"/>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jc w:val="right"/>
      <w:rPr/>
    </w:pPr>
    <w:r w:rsidDel="00000000" w:rsidR="00000000" w:rsidRPr="00000000">
      <w:rPr/>
      <w:drawing>
        <wp:inline distB="114300" distT="114300" distL="114300" distR="114300">
          <wp:extent cx="1131562" cy="477258"/>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31562" cy="477258"/>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martinengocommunication.com/" TargetMode="External"/><Relationship Id="rId5" Type="http://schemas.openxmlformats.org/officeDocument/2006/relationships/styles" Target="styles.xml"/><Relationship Id="rId6" Type="http://schemas.openxmlformats.org/officeDocument/2006/relationships/hyperlink" Target="http://www.peru.travel/it" TargetMode="External"/><Relationship Id="rId7" Type="http://schemas.openxmlformats.org/officeDocument/2006/relationships/image" Target="media/image1.png"/><Relationship Id="rId8" Type="http://schemas.openxmlformats.org/officeDocument/2006/relationships/hyperlink" Target="mailto:martinengo@martinengocommunic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